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F77B" w14:textId="77777777" w:rsidR="006E60B1" w:rsidRPr="006E60B1" w:rsidRDefault="006E60B1" w:rsidP="006E60B1">
      <w:pPr>
        <w:spacing w:after="0" w:line="240" w:lineRule="auto"/>
        <w:jc w:val="center"/>
        <w:rPr>
          <w:sz w:val="18"/>
          <w:szCs w:val="18"/>
        </w:rPr>
      </w:pPr>
      <w:r w:rsidRPr="006E60B1">
        <w:rPr>
          <w:sz w:val="18"/>
          <w:szCs w:val="18"/>
        </w:rPr>
        <w:t xml:space="preserve">UNIVERSIDADE FEDERAL DE SANTA CATARINA </w:t>
      </w:r>
    </w:p>
    <w:p w14:paraId="6CDA11FB" w14:textId="77777777" w:rsidR="006E60B1" w:rsidRPr="006E60B1" w:rsidRDefault="006E60B1" w:rsidP="006E60B1">
      <w:pPr>
        <w:spacing w:after="0" w:line="240" w:lineRule="auto"/>
        <w:jc w:val="center"/>
        <w:rPr>
          <w:sz w:val="18"/>
          <w:szCs w:val="18"/>
        </w:rPr>
      </w:pPr>
      <w:r w:rsidRPr="006E60B1">
        <w:rPr>
          <w:sz w:val="18"/>
          <w:szCs w:val="18"/>
        </w:rPr>
        <w:t>PRÓ-REITORIA DE ADMINISTRAÇÃO</w:t>
      </w:r>
    </w:p>
    <w:p w14:paraId="04F0C465" w14:textId="77777777" w:rsidR="006E60B1" w:rsidRPr="006E60B1" w:rsidRDefault="006E60B1" w:rsidP="006E60B1">
      <w:pPr>
        <w:spacing w:after="0" w:line="240" w:lineRule="auto"/>
        <w:jc w:val="center"/>
        <w:rPr>
          <w:sz w:val="18"/>
          <w:szCs w:val="18"/>
        </w:rPr>
      </w:pPr>
      <w:r w:rsidRPr="006E60B1">
        <w:rPr>
          <w:sz w:val="18"/>
          <w:szCs w:val="18"/>
        </w:rPr>
        <w:t xml:space="preserve">DEPARTAMENTO DE PROJETOS, CONTRATOS E </w:t>
      </w:r>
      <w:proofErr w:type="gramStart"/>
      <w:r w:rsidRPr="006E60B1">
        <w:rPr>
          <w:sz w:val="18"/>
          <w:szCs w:val="18"/>
        </w:rPr>
        <w:t>CONVÊNIOS</w:t>
      </w:r>
      <w:proofErr w:type="gramEnd"/>
    </w:p>
    <w:p w14:paraId="23AB140F" w14:textId="77777777" w:rsidR="006E60B1" w:rsidRPr="006E60B1" w:rsidRDefault="006E60B1" w:rsidP="006E60B1">
      <w:pPr>
        <w:spacing w:after="0" w:line="240" w:lineRule="auto"/>
        <w:jc w:val="center"/>
        <w:rPr>
          <w:b/>
          <w:sz w:val="18"/>
          <w:szCs w:val="18"/>
        </w:rPr>
      </w:pPr>
      <w:r w:rsidRPr="006E60B1">
        <w:rPr>
          <w:b/>
          <w:sz w:val="18"/>
          <w:szCs w:val="18"/>
        </w:rPr>
        <w:t>Coordenadoria De Contratos Terceirizados</w:t>
      </w:r>
    </w:p>
    <w:p w14:paraId="752D5438" w14:textId="77777777" w:rsidR="006E60B1" w:rsidRDefault="00DC3765" w:rsidP="006E60B1">
      <w:pPr>
        <w:pBdr>
          <w:bottom w:val="single" w:sz="12" w:space="1" w:color="auto"/>
        </w:pBdr>
        <w:jc w:val="center"/>
        <w:rPr>
          <w:sz w:val="18"/>
          <w:szCs w:val="18"/>
        </w:rPr>
      </w:pPr>
      <w:hyperlink r:id="rId8" w:history="1">
        <w:r w:rsidR="006E60B1" w:rsidRPr="006E60B1">
          <w:rPr>
            <w:rStyle w:val="Hyperlink"/>
            <w:sz w:val="18"/>
            <w:szCs w:val="18"/>
          </w:rPr>
          <w:t>scst.dpc@ufsc.br</w:t>
        </w:r>
      </w:hyperlink>
      <w:r w:rsidR="006E60B1" w:rsidRPr="006E60B1">
        <w:rPr>
          <w:sz w:val="18"/>
          <w:szCs w:val="18"/>
        </w:rPr>
        <w:t xml:space="preserve"> – 3721 4252-4236</w:t>
      </w:r>
    </w:p>
    <w:p w14:paraId="6704E133" w14:textId="77777777" w:rsidR="00E010D0" w:rsidRPr="00E010D0" w:rsidRDefault="00E010D0" w:rsidP="00E010D0">
      <w:pPr>
        <w:suppressAutoHyphens/>
        <w:spacing w:before="360" w:after="360" w:line="240" w:lineRule="auto"/>
        <w:jc w:val="center"/>
        <w:rPr>
          <w:rFonts w:eastAsia="Times New Roman" w:cs="Calibri"/>
          <w:b/>
          <w:bCs/>
          <w:sz w:val="20"/>
          <w:szCs w:val="20"/>
          <w:lang w:eastAsia="pt-BR"/>
        </w:rPr>
      </w:pPr>
      <w:r w:rsidRPr="00E010D0">
        <w:rPr>
          <w:rFonts w:eastAsia="Times New Roman" w:cs="Calibri"/>
          <w:b/>
          <w:bCs/>
          <w:sz w:val="20"/>
          <w:szCs w:val="20"/>
          <w:lang w:eastAsia="pt-BR"/>
        </w:rPr>
        <w:t xml:space="preserve">LISTA DE VERIFICAÇÃO PARA A RENOVAÇÃO DE CONTRATOS DE SERVIÇOS: </w:t>
      </w:r>
      <w:r w:rsidRPr="00E010D0">
        <w:rPr>
          <w:rFonts w:eastAsia="Times New Roman" w:cs="Calibri"/>
          <w:b/>
          <w:bCs/>
          <w:sz w:val="20"/>
          <w:szCs w:val="20"/>
          <w:shd w:val="clear" w:color="auto" w:fill="D9D9D9"/>
          <w:lang w:eastAsia="pt-BR"/>
        </w:rPr>
        <w:t xml:space="preserve">Versão </w:t>
      </w:r>
      <w:r>
        <w:rPr>
          <w:rFonts w:eastAsia="Times New Roman" w:cs="Calibri"/>
          <w:b/>
          <w:bCs/>
          <w:sz w:val="20"/>
          <w:szCs w:val="20"/>
          <w:shd w:val="clear" w:color="auto" w:fill="D9D9D9"/>
          <w:lang w:eastAsia="pt-BR"/>
        </w:rPr>
        <w:t>2</w:t>
      </w:r>
      <w:r w:rsidRPr="00E010D0">
        <w:rPr>
          <w:rFonts w:eastAsia="Times New Roman" w:cs="Calibri"/>
          <w:b/>
          <w:bCs/>
          <w:sz w:val="20"/>
          <w:szCs w:val="20"/>
          <w:shd w:val="clear" w:color="auto" w:fill="D9D9D9"/>
          <w:lang w:eastAsia="pt-BR"/>
        </w:rPr>
        <w:t>/2022</w:t>
      </w:r>
    </w:p>
    <w:p w14:paraId="41406148" w14:textId="77777777" w:rsidR="00E010D0" w:rsidRPr="00E010D0" w:rsidRDefault="00E010D0" w:rsidP="00C86978">
      <w:pPr>
        <w:jc w:val="center"/>
        <w:rPr>
          <w:b/>
          <w:u w:val="single"/>
        </w:rPr>
      </w:pPr>
      <w:r w:rsidRPr="00E010D0">
        <w:rPr>
          <w:b/>
          <w:u w:val="single"/>
        </w:rPr>
        <w:t>Parecer Referencial</w:t>
      </w:r>
    </w:p>
    <w:p w14:paraId="5DE0D561" w14:textId="77777777" w:rsidR="00230A19" w:rsidRDefault="00C86978" w:rsidP="00C86978">
      <w:pPr>
        <w:jc w:val="center"/>
      </w:pPr>
      <w:r>
        <w:t>C</w:t>
      </w:r>
      <w:r w:rsidR="00E010D0">
        <w:t>HECKLIST - PARTE 1</w:t>
      </w:r>
      <w:r w:rsidR="00230A19">
        <w:t xml:space="preserve"> - </w:t>
      </w:r>
      <w:r w:rsidR="00230A19" w:rsidRPr="00C86978">
        <w:rPr>
          <w:b/>
        </w:rPr>
        <w:t>REQUERENTE</w:t>
      </w:r>
    </w:p>
    <w:tbl>
      <w:tblPr>
        <w:tblpPr w:leftFromText="141" w:rightFromText="141" w:vertAnchor="text" w:tblpX="-919" w:tblpY="1"/>
        <w:tblOverlap w:val="never"/>
        <w:tblW w:w="6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851"/>
        <w:gridCol w:w="3687"/>
        <w:gridCol w:w="567"/>
        <w:gridCol w:w="564"/>
        <w:gridCol w:w="567"/>
        <w:gridCol w:w="1416"/>
        <w:gridCol w:w="3154"/>
      </w:tblGrid>
      <w:tr w:rsidR="00854D81" w:rsidRPr="009C1EFE" w14:paraId="77C2BC79" w14:textId="77777777" w:rsidTr="00854D81">
        <w:trPr>
          <w:cantSplit/>
          <w:tblHeader/>
        </w:trPr>
        <w:tc>
          <w:tcPr>
            <w:tcW w:w="175" w:type="pct"/>
            <w:tcBorders>
              <w:bottom w:val="single" w:sz="4" w:space="0" w:color="auto"/>
            </w:tcBorders>
            <w:shd w:val="clear" w:color="auto" w:fill="548DD4"/>
          </w:tcPr>
          <w:p w14:paraId="1566DC5B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color w:val="FFFFFF"/>
                <w:sz w:val="16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548DD4"/>
          </w:tcPr>
          <w:p w14:paraId="26205B0A" w14:textId="77777777" w:rsidR="009C1EFE" w:rsidRPr="009C1EFE" w:rsidRDefault="00BA0CC5" w:rsidP="00DC3765">
            <w:pPr>
              <w:spacing w:after="0" w:line="240" w:lineRule="auto"/>
              <w:jc w:val="center"/>
              <w:rPr>
                <w:rFonts w:cstheme="minorHAnsi"/>
                <w:color w:val="FFFFFF"/>
                <w:sz w:val="16"/>
                <w:szCs w:val="18"/>
              </w:rPr>
            </w:pPr>
            <w:r>
              <w:rPr>
                <w:rFonts w:cstheme="minorHAnsi"/>
                <w:color w:val="FFFFFF"/>
                <w:sz w:val="16"/>
                <w:szCs w:val="18"/>
              </w:rPr>
              <w:t>Nº Parecer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4251492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REQUISITO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437031B0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SIM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422F029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NÃO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2082D93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N/A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56D3A03E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FOLHAS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0FB74A23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FUNDAMENTO</w:t>
            </w:r>
          </w:p>
          <w:p w14:paraId="05A3CB8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b/>
                <w:bCs/>
                <w:color w:val="FFFFFF"/>
                <w:sz w:val="16"/>
                <w:szCs w:val="18"/>
              </w:rPr>
              <w:t>JURÍDICO</w:t>
            </w:r>
          </w:p>
        </w:tc>
      </w:tr>
      <w:tr w:rsidR="00854D81" w:rsidRPr="009C1EFE" w14:paraId="65D22565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909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1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511D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proofErr w:type="gramStart"/>
            <w:r w:rsidRPr="009C1EFE">
              <w:rPr>
                <w:rFonts w:cstheme="minorHAnsi"/>
                <w:sz w:val="16"/>
                <w:szCs w:val="18"/>
              </w:rPr>
              <w:t>4</w:t>
            </w:r>
            <w:proofErr w:type="gram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AC4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Houve inserção da renovação no sistema de Planejamento e Gerenciamento de Contratações (PGC) - ou sistema substituto a este -, com indicação dos números de registros?</w:t>
            </w:r>
          </w:p>
          <w:p w14:paraId="30197B1D" w14:textId="77777777" w:rsidR="009C1EFE" w:rsidRPr="009C1EFE" w:rsidRDefault="009C1EFE" w:rsidP="00DC3765">
            <w:pPr>
              <w:pStyle w:val="Textodocorpo1"/>
              <w:numPr>
                <w:ilvl w:val="0"/>
                <w:numId w:val="5"/>
              </w:numPr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Este item não se aplica (N/A) nos casos de concessão/cessão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F5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30B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19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E84BC2">
              <w:rPr>
                <w:rFonts w:cstheme="minorHAnsi"/>
                <w:sz w:val="16"/>
                <w:szCs w:val="18"/>
                <w:highlight w:val="yellow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219C" w14:textId="21F8EDE2" w:rsidR="009C1EFE" w:rsidRPr="009C1EFE" w:rsidRDefault="00E84BC2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</w:t>
            </w:r>
            <w:r w:rsidRPr="00E84BC2">
              <w:rPr>
                <w:rFonts w:cstheme="minorHAnsi"/>
                <w:sz w:val="16"/>
                <w:szCs w:val="18"/>
              </w:rPr>
              <w:t>istema já está adaptado à NLLC e ao novo Decreto do PGC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E2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IN 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01/2019/SEGES/ME</w:t>
            </w:r>
          </w:p>
          <w:p w14:paraId="4FAE1E6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Decreto n. 10.947/2022</w:t>
            </w:r>
          </w:p>
        </w:tc>
      </w:tr>
      <w:tr w:rsidR="00854D81" w:rsidRPr="009C1EFE" w14:paraId="79523C1E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FD0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2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2C8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proofErr w:type="gramStart"/>
            <w:r w:rsidRPr="009C1EFE">
              <w:rPr>
                <w:rFonts w:cstheme="minorHAnsi"/>
                <w:sz w:val="16"/>
                <w:szCs w:val="18"/>
              </w:rPr>
              <w:t>6</w:t>
            </w:r>
            <w:proofErr w:type="gram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E1F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Está formalmente demonstrada que a forma de prestação dos serviços tem natureza continuada e há previsão expressa no edital (contrato) autorizando a renovação?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10B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B8C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011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6037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F2CE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57, II e § 4.º da L.8.666/93</w:t>
            </w:r>
          </w:p>
          <w:p w14:paraId="681E6DA0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item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3, "a", do anexo IX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14:paraId="7260741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n. 65/2020/AGU</w:t>
            </w:r>
          </w:p>
        </w:tc>
      </w:tr>
      <w:tr w:rsidR="00854D81" w:rsidRPr="009C1EFE" w14:paraId="3371C314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9B7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3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43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proofErr w:type="gramStart"/>
            <w:r w:rsidRPr="009C1EFE">
              <w:rPr>
                <w:rFonts w:cstheme="minorHAnsi"/>
                <w:sz w:val="16"/>
                <w:szCs w:val="18"/>
              </w:rPr>
              <w:t>7</w:t>
            </w:r>
            <w:proofErr w:type="gram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9F86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Há relatório que discorra sobre a execução do contrato, com informações de que os serviços tenham sido prestados regularmente até então?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BDF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79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A90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06BF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B6B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IX, item 03, "b",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IN SEGES/MP n.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05/2017</w:t>
            </w:r>
            <w:proofErr w:type="gramEnd"/>
          </w:p>
          <w:p w14:paraId="6F9B49F9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67 da L. 8.666/93</w:t>
            </w:r>
          </w:p>
        </w:tc>
      </w:tr>
      <w:tr w:rsidR="00854D81" w:rsidRPr="009C1EFE" w14:paraId="4D01D017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637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4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5E8E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7.1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BF43" w14:textId="77777777" w:rsidR="009C1EFE" w:rsidRDefault="009C1EFE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Esse relatório foi expedido pelo fiscal e/ou gestor identificado para esse contrato?</w:t>
            </w:r>
          </w:p>
          <w:p w14:paraId="08F62782" w14:textId="77777777" w:rsidR="00D735C4" w:rsidRPr="009C1EFE" w:rsidRDefault="00D735C4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695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50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25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167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AC5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4D81" w:rsidRPr="009C1EFE" w14:paraId="742732B6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B1B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5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421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proofErr w:type="gramStart"/>
            <w:r w:rsidRPr="009C1EFE">
              <w:rPr>
                <w:rFonts w:cstheme="minorHAnsi"/>
                <w:sz w:val="16"/>
                <w:szCs w:val="18"/>
              </w:rPr>
              <w:t>8</w:t>
            </w:r>
            <w:proofErr w:type="gram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AA6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A unidade requisitante (ordenador setorial) apresentou expediente em que explana a justificativa e o motivo para a renovação, descrevendo que a Administração mantém interesse na realização do serviço (identificando a demanda que o objeto contratual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atende,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a persistência dessa demanda que justifique a continuidade do contrato e os resultados esperados com a nova vigência do prazo de execução)?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F0ED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BF3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89AD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87D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734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anexo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IX, item 03, "c", da IN SEGES/MP n. 05/2017</w:t>
            </w:r>
          </w:p>
          <w:p w14:paraId="4C9011A3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Parecer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n. 07/2016/CPLC/DEPCONSU/PGF/AGU</w:t>
            </w:r>
          </w:p>
          <w:p w14:paraId="4E017BB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57, II e § 4º, da Lei n. 8.666/93.</w:t>
            </w:r>
          </w:p>
          <w:p w14:paraId="29F3419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-113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50 da Lei n. 9.784/1999; c/c art. 2.º, caput, "d", e § único, "d", da Lei n. 4.717/1965 - Lei da Ação Popular</w:t>
            </w:r>
          </w:p>
        </w:tc>
      </w:tr>
      <w:tr w:rsidR="00854D81" w:rsidRPr="009C1EFE" w14:paraId="2CD0DAF4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48F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6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7FE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8.1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629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 renovação é excepcional? Caso seja, há justificativa específica de que a ausência do serviço irá acarretar prejuízos consideráveis ao bom funcionamento do órgão ou da entidade contratante, ou seja, a necessidade em questão precisa ser inadiável?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212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B30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AF3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B7B6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75B8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4D81" w:rsidRPr="009C1EFE" w14:paraId="39C45154" w14:textId="77777777" w:rsidTr="00854D81">
        <w:trPr>
          <w:cantSplit/>
          <w:trHeight w:val="1038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493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7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F59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proofErr w:type="gramStart"/>
            <w:r w:rsidRPr="009C1EFE">
              <w:rPr>
                <w:rFonts w:cstheme="minorHAnsi"/>
                <w:sz w:val="16"/>
                <w:szCs w:val="18"/>
              </w:rPr>
              <w:t>9</w:t>
            </w:r>
            <w:proofErr w:type="gram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4553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Observar os itens abaixo no caso de contrato decorrente de inexigibilidade de licitação ou contratação direta: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715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2D6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C7B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CEFD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E06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AC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n. 555/2016/TCU – Plenário</w:t>
            </w:r>
          </w:p>
          <w:p w14:paraId="09619C47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arts</w:t>
            </w:r>
            <w:proofErr w:type="spellEnd"/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 25 e 26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da Lei n. 8.666/93</w:t>
            </w:r>
          </w:p>
          <w:p w14:paraId="00B4F915" w14:textId="77777777" w:rsidR="009C1EFE" w:rsidRPr="009C1EFE" w:rsidRDefault="009C1EFE" w:rsidP="00DC3765">
            <w:pPr>
              <w:pStyle w:val="Textodocorpo1"/>
              <w:spacing w:after="12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50 da Lei n. 9.784/1999; c/c art. 2.º, </w:t>
            </w:r>
            <w:r w:rsidRPr="009C1E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caput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"d", e § único, "d", da Lei n. 4.717/1965 - Lei da Ação Popular</w:t>
            </w:r>
          </w:p>
        </w:tc>
      </w:tr>
      <w:tr w:rsidR="00854D81" w:rsidRPr="009C1EFE" w14:paraId="460B319D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DEC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t>8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3D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9.1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F10" w14:textId="08C486AC" w:rsidR="009C1EFE" w:rsidRPr="009C1EFE" w:rsidRDefault="00D735C4" w:rsidP="00DC3765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Sendo </w:t>
            </w:r>
            <w:r w:rsidR="009C1EFE" w:rsidRPr="009C1EFE">
              <w:rPr>
                <w:rFonts w:asciiTheme="minorHAnsi" w:hAnsiTheme="minorHAnsi" w:cstheme="minorHAnsi"/>
                <w:sz w:val="16"/>
                <w:szCs w:val="18"/>
              </w:rPr>
              <w:t>decorrente de inexigibilidade de licitação, foi certificado nos autos a manutenção da inviabilidade de competição, inclusive atualizado o atestado de exclusividade apresentado à época da celebração do contrato?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65E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40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96F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F2FF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1C57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102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4D81" w:rsidRPr="009C1EFE" w14:paraId="580392B2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F30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8"/>
              </w:rPr>
              <w:lastRenderedPageBreak/>
              <w:t>9</w:t>
            </w:r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556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9.2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DF2E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Caso firmado por dispensa que exija alguma qualidade específica do contratado para enquadramento legal, essa situação se mantém?</w:t>
            </w:r>
          </w:p>
          <w:p w14:paraId="6B9EB93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b/>
                <w:sz w:val="16"/>
                <w:szCs w:val="18"/>
              </w:rPr>
              <w:t>Exemplos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14:paraId="4334FE40" w14:textId="77777777" w:rsidR="009C1EFE" w:rsidRPr="009C1EFE" w:rsidRDefault="009C1EFE" w:rsidP="00DC3765">
            <w:pPr>
              <w:pStyle w:val="Textodocorpo1"/>
              <w:numPr>
                <w:ilvl w:val="0"/>
                <w:numId w:val="6"/>
              </w:numPr>
              <w:shd w:val="clear" w:color="auto" w:fill="auto"/>
              <w:spacing w:after="120" w:line="240" w:lineRule="auto"/>
              <w:ind w:left="20" w:firstLine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Dispensa do art. 24, XIII: deve ser apresentado comprovante de manutenção do credenciamento da Fundação de Apoio;</w:t>
            </w:r>
          </w:p>
          <w:p w14:paraId="630AB3CA" w14:textId="77777777" w:rsidR="009C1EFE" w:rsidRPr="009C1EFE" w:rsidRDefault="009C1EFE" w:rsidP="00DC3765">
            <w:pPr>
              <w:pStyle w:val="Textodocorpo1"/>
              <w:numPr>
                <w:ilvl w:val="0"/>
                <w:numId w:val="6"/>
              </w:numPr>
              <w:shd w:val="clear" w:color="auto" w:fill="auto"/>
              <w:spacing w:line="240" w:lineRule="auto"/>
              <w:ind w:left="20" w:firstLine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Dispensas dos </w:t>
            </w:r>
            <w:proofErr w:type="spell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arts</w:t>
            </w:r>
            <w:proofErr w:type="spell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. 17, 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§</w:t>
            </w: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 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2.º; ou 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24, VIII e XVI: o órgão ou Entidade devem permanecer integrando a Administração Público (estar atento às privatizações).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44B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15B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FE2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053D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96A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4D81" w:rsidRPr="009C1EFE" w14:paraId="55E1AC97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2A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D2C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10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3059" w14:textId="66BC09DB" w:rsidR="009C1EFE" w:rsidRDefault="009C1EFE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Há manifestação expressa da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contratada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/concessionária/cessionár</w:t>
            </w:r>
            <w:r w:rsidR="00D735C4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="00D735C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informando o interesse na renovação (por escrito, podendo ser por e-mail, portanto)?</w:t>
            </w:r>
          </w:p>
          <w:p w14:paraId="0B853DFE" w14:textId="77777777" w:rsidR="00D735C4" w:rsidRPr="009C1EFE" w:rsidRDefault="00D735C4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EC0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ABB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90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449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2F07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anexo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IX, item 3, “e”,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14:paraId="6611D9E9" w14:textId="77777777" w:rsidR="009C1EFE" w:rsidRPr="009C1EFE" w:rsidRDefault="009C1EFE" w:rsidP="00DC3765">
            <w:pPr>
              <w:pStyle w:val="Textodenotaderodap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D81" w:rsidRPr="009C1EFE" w14:paraId="14927E16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1B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DA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11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B2A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Pode-se afirmar que não houve evento relevante durante a execução que torne necessário atualizar o Mapa de Riscos?</w:t>
            </w:r>
          </w:p>
          <w:p w14:paraId="1E7E3647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Estes itens não se aplicam (N/A) nos casos de concessão/cessão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083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690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B77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111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916D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26, §1º, IV, da </w:t>
            </w: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 SEGES/MP n. 05/2017</w:t>
            </w:r>
          </w:p>
          <w:p w14:paraId="1089E13C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D81" w:rsidRPr="009C1EFE" w14:paraId="40C34551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9D0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6C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t>11.1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2DC1" w14:textId="4C880059" w:rsidR="00D735C4" w:rsidRPr="009C1EFE" w:rsidRDefault="009C1EFE" w:rsidP="00854D81">
            <w:pPr>
              <w:pStyle w:val="Textodocorpo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Registrada a existência de evento relevante na forma do item anterior, consta dos autos o Mapa de Riscos atualizado?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02B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91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0DA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59EC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95CA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D81" w:rsidRPr="009C1EFE" w14:paraId="6FDC703C" w14:textId="77777777" w:rsidTr="00854D81">
        <w:trPr>
          <w:cantSplit/>
          <w:trHeight w:val="9068"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396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F3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highlight w:val="yellow"/>
              </w:rPr>
            </w:pPr>
            <w:r w:rsidRPr="009C1EFE">
              <w:rPr>
                <w:rFonts w:cstheme="minorHAnsi"/>
                <w:sz w:val="16"/>
                <w:szCs w:val="18"/>
              </w:rPr>
              <w:t>12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5281" w14:textId="77777777" w:rsidR="009C1EFE" w:rsidRPr="009C1EFE" w:rsidRDefault="009C1EFE" w:rsidP="00DC3765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Há comprovação, por meio de análise entre os preços contratados e aqueles praticados no mercado de que o valor do contrato permanece economicamente vantajoso para a Administração?</w:t>
            </w:r>
          </w:p>
          <w:p w14:paraId="4CEBE153" w14:textId="77777777" w:rsidR="009C1EFE" w:rsidRPr="009C1EFE" w:rsidRDefault="009C1EFE" w:rsidP="00DC3765">
            <w:pPr>
              <w:pStyle w:val="Textodocorpo1"/>
              <w:numPr>
                <w:ilvl w:val="0"/>
                <w:numId w:val="7"/>
              </w:numPr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Estes itens não se aplicam (N/A) nos casos de concessão/cessão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0B6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A85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F7D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3D38" w14:textId="77777777" w:rsidR="009C1EFE" w:rsidRDefault="00D735C4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Poderá ser realizada pesquisa de mercado para análise dos preços.</w:t>
            </w:r>
          </w:p>
          <w:p w14:paraId="07BEB158" w14:textId="77777777" w:rsidR="00D735C4" w:rsidRDefault="00D735C4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  <w:p w14:paraId="1A844A87" w14:textId="4ABA5C39" w:rsidR="00D735C4" w:rsidRPr="009C1EFE" w:rsidRDefault="00D735C4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8D6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itens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3, d, 4, 7, 8 e 11, a, do anexo IX da IN SEGES/MP n. 05/2017;</w:t>
            </w:r>
          </w:p>
          <w:p w14:paraId="0D2A61A3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OFÍCIO-CIRCULAR n. 00001/2018/NLICIT/PFUFSC/PGF/AGU (MEM C 9/PC/PF/2018, no sistema SPA);</w:t>
            </w:r>
          </w:p>
          <w:p w14:paraId="2DF0602A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Parecer n. 00004/2018/CPLC/DEPCONSU/PGF/AGU;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gramEnd"/>
          </w:p>
          <w:p w14:paraId="6A70E23A" w14:textId="77777777" w:rsid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ON n. 60/2020/AGU.</w:t>
            </w:r>
          </w:p>
          <w:p w14:paraId="2FBD44FE" w14:textId="77777777" w:rsidR="00D735C4" w:rsidRDefault="00D735C4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1D7013" w14:textId="268EBA26" w:rsidR="00D735C4" w:rsidRDefault="00D735C4" w:rsidP="00854D81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 xml:space="preserve">e) A </w:t>
            </w:r>
            <w:proofErr w:type="spellStart"/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vantajosidade</w:t>
            </w:r>
            <w:proofErr w:type="spellEnd"/>
            <w:r w:rsidRPr="00D735C4">
              <w:rPr>
                <w:rFonts w:asciiTheme="minorHAnsi" w:hAnsiTheme="minorHAnsi" w:cstheme="minorHAnsi"/>
                <w:sz w:val="16"/>
                <w:szCs w:val="16"/>
              </w:rPr>
              <w:t xml:space="preserve"> da prorrogação nos contratos de serviços continuados sem dedicação exclusiva de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mão de obra estará assegurada quando houver previsão contratual de índice de reajustamento de preços, o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que não impede que o gestor, diante das especificidades do contrato firmado, da competitividade do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certame, da adequação da pesquisa de preços que fundamentou o valor de referência da licitação, da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realidade de mercado, bem como da eventual ocorrência de circunstâncias atípicas no setor da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contratação, decida, de maneira fundamentada, pela realização da pesquisa de preços.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cr/>
            </w:r>
          </w:p>
          <w:p w14:paraId="4D1CFABB" w14:textId="77777777" w:rsidR="00D735C4" w:rsidRPr="00D735C4" w:rsidRDefault="00D735C4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 xml:space="preserve">7. A </w:t>
            </w:r>
            <w:proofErr w:type="spellStart"/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vantajosidade</w:t>
            </w:r>
            <w:proofErr w:type="spellEnd"/>
            <w:r w:rsidRPr="00D735C4">
              <w:rPr>
                <w:rFonts w:asciiTheme="minorHAnsi" w:hAnsiTheme="minorHAnsi" w:cstheme="minorHAnsi"/>
                <w:sz w:val="16"/>
                <w:szCs w:val="16"/>
              </w:rPr>
              <w:t xml:space="preserve"> econômica para prorrogação dos contratos com mão de obra exclusiva estará</w:t>
            </w:r>
          </w:p>
          <w:p w14:paraId="4A618489" w14:textId="6BCBA64E" w:rsidR="00D735C4" w:rsidRDefault="00D735C4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assegurada</w:t>
            </w:r>
            <w:proofErr w:type="gramEnd"/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, sendo dispensada a realização de pesquisa de mercado, nas seguintes hipóteses:</w:t>
            </w:r>
          </w:p>
          <w:p w14:paraId="00266E92" w14:textId="5B13EB91" w:rsidR="00D735C4" w:rsidRPr="00D735C4" w:rsidRDefault="00D735C4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a) quando o contrato contiver previsões de que os reajustes dos itens envolvendo a folha de salários serão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efetuados com base em Acordo, Convenção, Dissídio Coletivo de Trabalho ou em decorrência de lei;</w:t>
            </w:r>
          </w:p>
          <w:p w14:paraId="79A5FCB4" w14:textId="7B0DDD4E" w:rsidR="00D735C4" w:rsidRPr="009C1EFE" w:rsidRDefault="00D735C4" w:rsidP="00854D81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b) quando o contrato contiver previsões de que os reajustes dos itens envolvendo insumos (exceto quanto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a obrigações decorrentes de Acordo, Convenção, Dissídio Coletivo de Trabalho e de lei) e materiais serão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efetuados com base em índices oficiais, previamente definidos no contrato, que guardem a maior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correlação possível com o segmento econômico em que estejam inseridos tais insumos ou materiais ou,</w:t>
            </w:r>
            <w:r w:rsidR="00854D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735C4">
              <w:rPr>
                <w:rFonts w:asciiTheme="minorHAnsi" w:hAnsiTheme="minorHAnsi" w:cstheme="minorHAnsi"/>
                <w:sz w:val="16"/>
                <w:szCs w:val="16"/>
              </w:rPr>
              <w:t>na falta de qualquer índice setorial, o Índice Nacional de Preços ao Consumidor Amplo (IPCA/IBGE);</w:t>
            </w:r>
          </w:p>
        </w:tc>
      </w:tr>
      <w:tr w:rsidR="00854D81" w:rsidRPr="009C1EFE" w14:paraId="53A2F45A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EE5" w14:textId="27578B43" w:rsidR="009C1EFE" w:rsidRPr="000D5796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lastRenderedPageBreak/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863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  <w:highlight w:val="yellow"/>
              </w:rPr>
            </w:pPr>
            <w:r w:rsidRPr="000D5796">
              <w:rPr>
                <w:rFonts w:cstheme="minorHAnsi"/>
                <w:sz w:val="16"/>
                <w:szCs w:val="18"/>
              </w:rPr>
              <w:t>12.1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0182" w14:textId="77777777" w:rsidR="009C1EFE" w:rsidRPr="009C1EFE" w:rsidRDefault="009C1EFE" w:rsidP="00DC3765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Tratando-se de contrato com mão de obra exclusiva, em que é dispensada a pesquisa de mercado, foi certificado no processo o atendimento das alíneas do item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7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do Anexo IX da IN SEGES 5/2017, ou seja, o reajuste da mão-de-obra ocorre por repactuação e o dos insumos por índice (reajuste sentido estrito)?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ADC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F3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558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023E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FB6F" w14:textId="73821F7B" w:rsidR="009C1EFE" w:rsidRPr="009C1EFE" w:rsidRDefault="009C1EFE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itens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3, d, 4, 7, 8 e 11, a, do anexo IX da IN SEGES/MP n. 05/2017;</w:t>
            </w:r>
          </w:p>
          <w:p w14:paraId="121DB55B" w14:textId="77777777" w:rsidR="009C1EFE" w:rsidRPr="009C1EFE" w:rsidRDefault="009C1EFE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14:paraId="18C32A58" w14:textId="4C703CDD" w:rsidR="009C1EFE" w:rsidRPr="009C1EFE" w:rsidRDefault="009C1EFE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OFÍCIO-CIRCULAR n. 00001/2018/NLICIT/PFUFSC/PGF/AGU (MEM C 9/PC/PF/2018, no sistema SPA);</w:t>
            </w:r>
          </w:p>
          <w:p w14:paraId="123C33FC" w14:textId="77777777" w:rsidR="009C1EFE" w:rsidRPr="009C1EFE" w:rsidRDefault="009C1EFE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A2FF00" w14:textId="08DBC9E6" w:rsidR="009C1EFE" w:rsidRPr="009C1EFE" w:rsidRDefault="009C1EFE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Parecer n. 00004/2018/CPLC/DEPCONSU/PGF/AGU;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gramEnd"/>
          </w:p>
          <w:p w14:paraId="4A1D5C2C" w14:textId="77777777" w:rsidR="009C1EFE" w:rsidRPr="009C1EFE" w:rsidRDefault="009C1EFE" w:rsidP="00DC3765">
            <w:pPr>
              <w:pStyle w:val="Textodocorpo1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65CE29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ON n. 60/2020/AGU.</w:t>
            </w:r>
          </w:p>
        </w:tc>
      </w:tr>
      <w:tr w:rsidR="00854D81" w:rsidRPr="009C1EFE" w14:paraId="5C56E518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B65" w14:textId="77777777" w:rsidR="009C1EFE" w:rsidRPr="000D5796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EE5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D5796">
              <w:rPr>
                <w:rFonts w:cstheme="minorHAnsi"/>
                <w:sz w:val="16"/>
                <w:szCs w:val="18"/>
              </w:rPr>
              <w:t>12.2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78D7" w14:textId="77777777" w:rsidR="009C1EFE" w:rsidRPr="009C1EFE" w:rsidRDefault="009C1EFE" w:rsidP="00DC3765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Tratando-se de contrato sem mão de obra exclusiva e havendo a dispensa da pesquisa de preços, o índice de reajuste aplicável ao contrato continua acompanhando a variação dos preços de mercado? Pode-se afirmar que o mercado não tem noticiado intercorrências severas que indiquem que esse índice deixou de refletir a inflação, causando desvantagem para a UFSC (vide o ocorrido com o IGP-M na pandemia)? Caso a resposta seja “não”, a pesquisa de preços deve ser realizada para atestar a </w:t>
            </w:r>
            <w:proofErr w:type="spell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vantajosidade</w:t>
            </w:r>
            <w:proofErr w:type="spell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da renovação.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A5E5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4193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FC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B261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D58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54D81" w:rsidRPr="009C1EFE" w14:paraId="6715B0B1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88B" w14:textId="77777777" w:rsidR="009C1EFE" w:rsidRPr="000D5796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526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D5796">
              <w:rPr>
                <w:rFonts w:cstheme="minorHAnsi"/>
                <w:sz w:val="16"/>
                <w:szCs w:val="18"/>
              </w:rPr>
              <w:t>12.3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C8A" w14:textId="77777777" w:rsidR="009C1EFE" w:rsidRPr="009C1EFE" w:rsidRDefault="009C1EFE" w:rsidP="00DC3765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Sendo o objeto do contrato regulado por caderno de logística que imponha teto de custo, está sendo observado esse teto?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E2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EC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924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3C55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5A5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54D81" w:rsidRPr="009C1EFE" w14:paraId="3F710C71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9C4" w14:textId="77777777" w:rsidR="009C1EFE" w:rsidRPr="000D5796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5A8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D5796">
              <w:rPr>
                <w:rFonts w:cstheme="minorHAnsi"/>
                <w:sz w:val="16"/>
                <w:szCs w:val="18"/>
              </w:rPr>
              <w:t>12.3.1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83BE" w14:textId="77777777" w:rsidR="009C1EFE" w:rsidRPr="009C1EFE" w:rsidRDefault="009C1EFE" w:rsidP="00DC3765">
            <w:pPr>
              <w:pStyle w:val="Textodocorpo1"/>
              <w:shd w:val="clear" w:color="auto" w:fill="auto"/>
              <w:spacing w:after="24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Caso sim, esse teto está sendo observado?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11A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F06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B81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A484" w14:textId="77777777" w:rsidR="009C1EFE" w:rsidRPr="009C1EFE" w:rsidRDefault="009C1EFE" w:rsidP="00DC376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035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854D81" w:rsidRPr="009C1EFE" w14:paraId="132C2B74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70F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CC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D6C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Verificou-se (SICAF, CNIA, CEIS, TCU consolidada) que não há registro de sanção à empresa contratada que a impeçam de celebrar ou manter contrato administrativo com a UFSC (ex.: suspensão aplicada pela UFSC, impedimento aplicado por qualquer órgão/Entidade federal ou declaração de inidoneidade registrada)?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09C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F86E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7093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E5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69C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item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11, “b”, do Anexo IX da IN-SEGES 5/2017</w:t>
            </w:r>
          </w:p>
          <w:p w14:paraId="6B78201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7.º da 10.520/02 e art. 87 da Lei n.º 8.666/93</w:t>
            </w:r>
          </w:p>
          <w:p w14:paraId="7A748EC9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6"/>
              </w:rPr>
              <w:t xml:space="preserve"> 6.º e ss. da Lei n.º 10.522/2002</w:t>
            </w:r>
          </w:p>
          <w:p w14:paraId="6496B346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00086/2018/NLICIT/PFUFSC/PGF/AGU</w:t>
            </w:r>
          </w:p>
          <w:p w14:paraId="046860D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00170/2017/NLICIT/PFUFSC/PGF/AGU</w:t>
            </w:r>
          </w:p>
          <w:p w14:paraId="33570A5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PARECER n. 00007/2020/CPLC/DEPCONSU/PGF/AGU</w:t>
            </w:r>
          </w:p>
          <w:p w14:paraId="2D34925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</w:rPr>
              <w:t>Informativo de Licitações e Contratos n.º 44/2010/TCU</w:t>
            </w:r>
          </w:p>
          <w:p w14:paraId="54DEA1D7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 inscrição no Cadin não impede a prorrogação, mas exige análise da condição qualificação econômico-financeira. Vide Acórdão TCU n. 1.134/2017 - Plenário</w:t>
            </w:r>
          </w:p>
          <w:p w14:paraId="7BF3A293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As cinco primeiras certidões podem deixar de ser apresentadas de modo avulso caso constem do SICAF (posto que o SICAF </w:t>
            </w: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é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alimentado com essas informações), </w:t>
            </w:r>
            <w:proofErr w:type="spellStart"/>
            <w:r w:rsidRPr="009C1EFE">
              <w:rPr>
                <w:rStyle w:val="nfase"/>
                <w:rFonts w:asciiTheme="minorHAnsi" w:hAnsiTheme="minorHAnsi" w:cstheme="minorHAnsi"/>
                <w:color w:val="000000"/>
                <w:sz w:val="16"/>
                <w:szCs w:val="16"/>
              </w:rPr>
              <w:t>ex</w:t>
            </w:r>
            <w:proofErr w:type="spellEnd"/>
            <w:r w:rsidRPr="009C1EFE">
              <w:rPr>
                <w:rStyle w:val="nfase"/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vi</w:t>
            </w: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do art. 14, § único, da Lei n. 10.520/02</w:t>
            </w:r>
          </w:p>
          <w:p w14:paraId="4CB0C9B4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 Consulta Consolidada de Pessoa Jurídica TCU não é obrigatória e substitui a CNIA, o CEIS e a certidão de idoneidade do </w:t>
            </w: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TCU</w:t>
            </w:r>
            <w:proofErr w:type="gramEnd"/>
          </w:p>
          <w:p w14:paraId="3536D23D" w14:textId="77777777" w:rsidR="009C1EFE" w:rsidRPr="009C1EFE" w:rsidRDefault="009C1EFE" w:rsidP="00DC3765">
            <w:pPr>
              <w:pStyle w:val="Textodocorpo1"/>
              <w:spacing w:after="120"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Certidões positivas com efeito de negativa têm a mesma eficácia da certidão negativa, o que não é óbice, portanto, à regularidade da contratada. Certidões positivas tornam intransponível, regra geral, a contratação/renovação contratual.</w:t>
            </w:r>
          </w:p>
        </w:tc>
      </w:tr>
      <w:tr w:rsidR="00854D81" w:rsidRPr="009C1EFE" w14:paraId="2AB95B80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AF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7C8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4659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proofErr w:type="gram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Foram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apresentadas a regularidade fiscal e trabalhista, cfe. </w:t>
            </w:r>
            <w:proofErr w:type="gram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as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Certidões e Registros negativos seguintes, sem óbice à celebração do aditivo?:</w:t>
            </w:r>
          </w:p>
          <w:p w14:paraId="3B128F1C" w14:textId="77777777" w:rsidR="009C1EFE" w:rsidRPr="009C1EFE" w:rsidRDefault="009C1EFE" w:rsidP="00DC3765">
            <w:pPr>
              <w:pStyle w:val="Textodocorpo1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Atenção: certidão negativa ou positiva com efeito de negativa admitem a celebração; as demais, não: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9A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1566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B9B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0B74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B8C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854D81" w:rsidRPr="009C1EFE" w14:paraId="4B62606D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579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F0B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249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de débitos relativos aos tributos federais e à dívida ativa da união (Receita – RFB e INSS = PGFN)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CB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FAC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BCB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0A2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76AA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854D81" w:rsidRPr="009C1EFE" w14:paraId="3B777963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B6E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8A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A5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Receita Estadual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942D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50B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2E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155D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854D81" w:rsidRPr="009C1EFE" w14:paraId="5D368EF8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45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E0F6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14.1.3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08D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Receita Municipal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6C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B7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F0C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ECF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98ED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854D81" w:rsidRPr="009C1EFE" w14:paraId="79D0C196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5E4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FE7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14.1.4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866E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Certificado de regularidade do FGTS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0A5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60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E23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6BE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1F75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854D81" w:rsidRPr="009C1EFE" w14:paraId="712079FA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1E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7D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14.1.5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32A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de débitos trabalhistas - CNDT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47B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3F39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331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DAD6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9A6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do SICAF</w:t>
            </w:r>
          </w:p>
        </w:tc>
      </w:tr>
      <w:tr w:rsidR="00854D81" w:rsidRPr="009C1EFE" w14:paraId="5529EF86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043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A84F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14.1.6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9A7F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Consulta junto ao SICAF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ABA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511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04F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226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576E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D81" w:rsidRPr="009C1EFE" w14:paraId="41B1BCDD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C5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EB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14.1.7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C429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Negativa restrição CADIN (sobre o Cadin, vide observação na última coluna deste </w:t>
            </w:r>
            <w:proofErr w:type="spell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checklist</w:t>
            </w:r>
            <w:proofErr w:type="spellEnd"/>
            <w:proofErr w:type="gramStart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13CA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1462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D1E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B20A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F8E8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D81" w:rsidRPr="009C1EFE" w14:paraId="32E18CAD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94B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A85F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14.1.8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475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Negativa junto ao cadastro nacional de condenações cíveis por ato de improbidade administrativa - CNIA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2E37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D94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8F2D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7A06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3FB9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Consolidada do TCU</w:t>
            </w:r>
          </w:p>
        </w:tc>
      </w:tr>
      <w:tr w:rsidR="00854D81" w:rsidRPr="009C1EFE" w14:paraId="791B501B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4FA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347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8712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Consulta ao Cadastro Nacional de Empresas Inidôneas e Suspensas - CEIS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93E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FBDC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FE10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8F2C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38EA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Consolidada do TCU</w:t>
            </w:r>
          </w:p>
        </w:tc>
      </w:tr>
      <w:tr w:rsidR="00854D81" w:rsidRPr="009C1EFE" w14:paraId="693F9D71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99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74F9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14.1.10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659A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Certidão de licitante idôneo emitida pelo TCU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310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68B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922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7281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896A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9C1EFE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Informar se o requisito foi atendido com a certidão Consolidada do TCU</w:t>
            </w:r>
          </w:p>
        </w:tc>
      </w:tr>
      <w:tr w:rsidR="00854D81" w:rsidRPr="009C1EFE" w14:paraId="6132A701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4A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D7F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14.1.11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9A27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Consulta Consolidada de Pessoa Jurídica TCU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D324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C10E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F9AD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0F2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2D6E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4D81" w:rsidRPr="009C1EFE" w14:paraId="438CE944" w14:textId="77777777" w:rsidTr="00854D81">
        <w:trPr>
          <w:cantSplit/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D9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034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>14.1.12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3898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ind w:left="23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Certidão Negativa junto ao cadastro nacional de condenações cíveis por ato de improbidade administrativa – CNIA em nome da </w:t>
            </w:r>
            <w:r w:rsidRPr="009C1EF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pessoa </w:t>
            </w:r>
            <w:proofErr w:type="gramStart"/>
            <w:r w:rsidRPr="009C1EFE">
              <w:rPr>
                <w:rFonts w:asciiTheme="minorHAnsi" w:hAnsiTheme="minorHAnsi" w:cstheme="minorHAnsi"/>
                <w:b/>
                <w:sz w:val="16"/>
                <w:szCs w:val="18"/>
              </w:rPr>
              <w:t>física sócio majoritário</w:t>
            </w:r>
            <w:proofErr w:type="gramEnd"/>
            <w:r w:rsidRPr="009C1EFE">
              <w:rPr>
                <w:rFonts w:asciiTheme="minorHAnsi" w:hAnsiTheme="minorHAnsi" w:cstheme="minorHAnsi"/>
                <w:sz w:val="16"/>
                <w:szCs w:val="18"/>
              </w:rPr>
              <w:t xml:space="preserve"> da pessoa jurídica contratada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E08F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906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EA68" w14:textId="77777777" w:rsidR="009C1EFE" w:rsidRPr="009C1EFE" w:rsidRDefault="009C1EFE" w:rsidP="00DC376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9C1EFE">
              <w:rPr>
                <w:rFonts w:cstheme="minorHAns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EBD" w14:textId="77777777" w:rsidR="009C1EFE" w:rsidRPr="009C1EFE" w:rsidRDefault="009C1EFE" w:rsidP="00DC3765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5306" w14:textId="77777777" w:rsidR="009C1EFE" w:rsidRPr="009C1EFE" w:rsidRDefault="009C1EFE" w:rsidP="00DC3765">
            <w:pPr>
              <w:pStyle w:val="Textodocorpo1"/>
              <w:shd w:val="clear" w:color="auto" w:fill="auto"/>
              <w:spacing w:line="240" w:lineRule="auto"/>
              <w:ind w:left="2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art.</w:t>
            </w:r>
            <w:proofErr w:type="gramEnd"/>
            <w:r w:rsidRPr="009C1EF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 I, II e III da Lei n. 8.429/1992</w:t>
            </w:r>
          </w:p>
        </w:tc>
      </w:tr>
    </w:tbl>
    <w:p w14:paraId="0FDDB89D" w14:textId="77777777" w:rsidR="00745C82" w:rsidRDefault="00C42790" w:rsidP="00E86238">
      <w:pPr>
        <w:spacing w:before="120" w:after="120" w:line="360" w:lineRule="auto"/>
        <w:jc w:val="center"/>
      </w:pPr>
      <w:r>
        <w:t xml:space="preserve">CHECKLIST - PARTE </w:t>
      </w:r>
      <w:r w:rsidR="00E010D0">
        <w:t>2</w:t>
      </w:r>
      <w:r>
        <w:t xml:space="preserve"> - </w:t>
      </w:r>
      <w:r w:rsidR="007E6373">
        <w:rPr>
          <w:rFonts w:ascii="Calibri" w:hAnsi="Calibri" w:cs="Calibri"/>
          <w:b/>
          <w:bCs/>
          <w:sz w:val="20"/>
        </w:rPr>
        <w:t>REQUERENTE</w:t>
      </w:r>
    </w:p>
    <w:tbl>
      <w:tblPr>
        <w:tblW w:w="603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3685"/>
        <w:gridCol w:w="567"/>
        <w:gridCol w:w="567"/>
        <w:gridCol w:w="569"/>
        <w:gridCol w:w="1416"/>
        <w:gridCol w:w="3121"/>
      </w:tblGrid>
      <w:tr w:rsidR="00854D81" w:rsidRPr="00BA0CC5" w14:paraId="5944B77B" w14:textId="77777777" w:rsidTr="00854D81">
        <w:trPr>
          <w:cantSplit/>
          <w:tblHeader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548DD4"/>
          </w:tcPr>
          <w:p w14:paraId="48000985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16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548DD4"/>
          </w:tcPr>
          <w:p w14:paraId="447A0CC8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sz w:val="16"/>
                <w:szCs w:val="20"/>
              </w:rPr>
            </w:pPr>
            <w:r>
              <w:rPr>
                <w:rFonts w:cstheme="minorHAnsi"/>
                <w:color w:val="FFFFFF"/>
                <w:sz w:val="16"/>
                <w:szCs w:val="18"/>
              </w:rPr>
              <w:t>Nº Parecer</w:t>
            </w: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194929DA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REQUISITO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26D757D4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SIM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2E512C5E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NÃO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7B1FEF81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N/A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13343482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FOLHAS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54CF1074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FUNDAMENTO</w:t>
            </w:r>
          </w:p>
          <w:p w14:paraId="26B718F2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</w:pPr>
            <w:r w:rsidRPr="00BA0CC5">
              <w:rPr>
                <w:rFonts w:ascii="Calibri" w:hAnsi="Calibri" w:cs="Calibri"/>
                <w:b/>
                <w:bCs/>
                <w:color w:val="FFFFFF"/>
                <w:sz w:val="16"/>
                <w:szCs w:val="14"/>
              </w:rPr>
              <w:t>JURÍDICO</w:t>
            </w:r>
          </w:p>
        </w:tc>
      </w:tr>
      <w:tr w:rsidR="00854D81" w:rsidRPr="00BA0CC5" w14:paraId="3F233609" w14:textId="77777777" w:rsidTr="00854D81">
        <w:trPr>
          <w:cantSplit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309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C294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BA0CC5">
              <w:rPr>
                <w:rFonts w:ascii="Calibri" w:hAnsi="Calibri" w:cs="Calibri"/>
                <w:sz w:val="16"/>
                <w:szCs w:val="18"/>
              </w:rPr>
              <w:t>3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9E73" w14:textId="77777777"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Caso a renovação ocorra por prazo superior a 12 (doze) meses, o edital/contrato previu essa possibilidade originariamente?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9730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FE7B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9D7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200C" w14:textId="77777777"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869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5" w:hanging="142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 xml:space="preserve">Anexo IX, item 12, alíneas "a" e "b" da IN SEGES/MP n. </w:t>
            </w:r>
            <w:proofErr w:type="gramStart"/>
            <w:r w:rsidRPr="00BA0CC5">
              <w:rPr>
                <w:color w:val="000000"/>
                <w:sz w:val="16"/>
                <w:szCs w:val="16"/>
              </w:rPr>
              <w:t>05/2017</w:t>
            </w:r>
            <w:proofErr w:type="gramEnd"/>
          </w:p>
          <w:p w14:paraId="0C6FFC00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45" w:hanging="142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rFonts w:asciiTheme="minorHAnsi" w:hAnsiTheme="minorHAnsi" w:cs="Calibri"/>
                <w:sz w:val="16"/>
                <w:szCs w:val="16"/>
              </w:rPr>
              <w:t xml:space="preserve">AC TCU </w:t>
            </w:r>
            <w:r w:rsidRPr="00BA0CC5">
              <w:rPr>
                <w:color w:val="000000"/>
                <w:sz w:val="16"/>
                <w:szCs w:val="16"/>
              </w:rPr>
              <w:t>n. 490/2012 - Plenário</w:t>
            </w:r>
          </w:p>
        </w:tc>
      </w:tr>
      <w:tr w:rsidR="00854D81" w:rsidRPr="00BA0CC5" w14:paraId="5283531A" w14:textId="77777777" w:rsidTr="00854D81">
        <w:trPr>
          <w:cantSplit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D4A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5770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BA0CC5">
              <w:rPr>
                <w:rFonts w:ascii="Calibri" w:hAnsi="Calibri" w:cs="Calibri"/>
                <w:sz w:val="16"/>
                <w:szCs w:val="18"/>
              </w:rPr>
              <w:t>4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4F70" w14:textId="77777777"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Caso a renovação ocorra por prazo inferior ao prazo de vigência originariamente celebrado (ou seja, um contrato de 12 meses renovado por apenas </w:t>
            </w:r>
            <w:proofErr w:type="gramStart"/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6</w:t>
            </w:r>
            <w:proofErr w:type="gramEnd"/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 meses), há justificativa específica que expresse o interesse público nessa tomada de decisão?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36CF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2BD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C7B3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EC1A" w14:textId="77777777"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5A0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5" w:hanging="142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 xml:space="preserve">Anexo IX, item 12, alínea "c", da IN SEGES/MP n. </w:t>
            </w:r>
            <w:proofErr w:type="gramStart"/>
            <w:r w:rsidRPr="00BA0CC5">
              <w:rPr>
                <w:color w:val="000000"/>
                <w:sz w:val="16"/>
                <w:szCs w:val="16"/>
              </w:rPr>
              <w:t>05/2017</w:t>
            </w:r>
            <w:proofErr w:type="gramEnd"/>
          </w:p>
          <w:p w14:paraId="49941F58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45" w:hanging="142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ON AGU</w:t>
            </w:r>
            <w:proofErr w:type="gramStart"/>
            <w:r w:rsidRPr="00BA0CC5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BA0CC5">
              <w:rPr>
                <w:color w:val="000000"/>
                <w:sz w:val="16"/>
                <w:szCs w:val="16"/>
              </w:rPr>
              <w:t>n. </w:t>
            </w:r>
            <w:r w:rsidRPr="00BA0CC5">
              <w:rPr>
                <w:color w:val="000000"/>
                <w:sz w:val="16"/>
                <w:szCs w:val="16"/>
                <w:shd w:val="clear" w:color="auto" w:fill="FFFFFF"/>
              </w:rPr>
              <w:t>38/2011</w:t>
            </w:r>
          </w:p>
        </w:tc>
      </w:tr>
      <w:tr w:rsidR="00854D81" w:rsidRPr="00BA0CC5" w14:paraId="164C0534" w14:textId="77777777" w:rsidTr="00854D81">
        <w:trPr>
          <w:cantSplit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803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D38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proofErr w:type="gramStart"/>
            <w:r w:rsidRPr="00BA0CC5">
              <w:rPr>
                <w:rFonts w:ascii="Calibri" w:hAnsi="Calibri" w:cs="Calibri"/>
                <w:sz w:val="16"/>
                <w:szCs w:val="18"/>
              </w:rPr>
              <w:t>6</w:t>
            </w:r>
            <w:proofErr w:type="gramEnd"/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C4AE" w14:textId="77777777"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Está sendo observado, com a nova vigência, o limite de: </w:t>
            </w:r>
          </w:p>
          <w:p w14:paraId="6793F7B0" w14:textId="77777777" w:rsidR="00BA0CC5" w:rsidRPr="00BA0CC5" w:rsidRDefault="00BA0CC5" w:rsidP="0057618B">
            <w:pPr>
              <w:pStyle w:val="Textodocorpo1"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ind w:left="140" w:firstLine="0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48 (quarenta e oito) meses, sem possibilidade de prorrogação excepcional para aluguel de equipamentos ou programas de informática; </w:t>
            </w:r>
          </w:p>
          <w:p w14:paraId="329208C9" w14:textId="77777777" w:rsidR="00BA0CC5" w:rsidRPr="00BA0CC5" w:rsidRDefault="00BA0CC5" w:rsidP="0057618B">
            <w:pPr>
              <w:pStyle w:val="Textodocorpo1"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ind w:left="140" w:firstLine="0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60 (sessenta) meses no caso de renovação de serviços/cessão/concessão; </w:t>
            </w:r>
            <w:proofErr w:type="gramStart"/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e</w:t>
            </w:r>
            <w:proofErr w:type="gramEnd"/>
          </w:p>
          <w:p w14:paraId="2767C570" w14:textId="77777777" w:rsidR="00BA0CC5" w:rsidRPr="00BA0CC5" w:rsidRDefault="00BA0CC5" w:rsidP="0057618B">
            <w:pPr>
              <w:pStyle w:val="Textodocorpo1"/>
              <w:numPr>
                <w:ilvl w:val="0"/>
                <w:numId w:val="3"/>
              </w:numPr>
              <w:shd w:val="clear" w:color="auto" w:fill="auto"/>
              <w:spacing w:after="120" w:line="240" w:lineRule="auto"/>
              <w:ind w:left="140" w:firstLine="0"/>
              <w:jc w:val="both"/>
              <w:rPr>
                <w:rFonts w:ascii="Calibri" w:hAnsi="Calibri" w:cs="Calibri"/>
                <w:iCs/>
                <w:sz w:val="16"/>
                <w:szCs w:val="18"/>
              </w:rPr>
            </w:pPr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 72 (setenta e dois) meses, no caso de prorrogação excepcional de serviços/cessão/</w:t>
            </w:r>
            <w:proofErr w:type="gramStart"/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>concessão</w:t>
            </w:r>
            <w:proofErr w:type="gramEnd"/>
            <w:r w:rsidRPr="00BA0CC5">
              <w:rPr>
                <w:rFonts w:ascii="Calibri" w:hAnsi="Calibri" w:cs="Calibri"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8ED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21A0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D5B0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7D41" w14:textId="77777777"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08EB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245" w:hanging="142"/>
              <w:rPr>
                <w:rFonts w:asciiTheme="minorHAnsi" w:hAnsiTheme="minorHAnsi" w:cs="Calibri"/>
                <w:sz w:val="16"/>
                <w:szCs w:val="16"/>
              </w:rPr>
            </w:pPr>
            <w:r w:rsidRPr="00BA0CC5">
              <w:rPr>
                <w:rFonts w:asciiTheme="minorHAnsi" w:hAnsiTheme="minorHAnsi" w:cs="Calibri"/>
                <w:sz w:val="16"/>
                <w:szCs w:val="16"/>
              </w:rPr>
              <w:t xml:space="preserve">Art. 57, II, IV e </w:t>
            </w:r>
            <w:r w:rsidRPr="00BA0CC5">
              <w:rPr>
                <w:color w:val="000000"/>
                <w:sz w:val="16"/>
                <w:szCs w:val="16"/>
              </w:rPr>
              <w:t>§ 4.º, da L. 8.666/93</w:t>
            </w:r>
          </w:p>
        </w:tc>
      </w:tr>
      <w:tr w:rsidR="00854D81" w:rsidRPr="00BA0CC5" w14:paraId="0AC532B8" w14:textId="77777777" w:rsidTr="00854D81">
        <w:trPr>
          <w:cantSplit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998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44C7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>17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A2D" w14:textId="77777777"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t xml:space="preserve">Foi certificado pela Administração que a qualificação da contratada (firma social, nome fantasia, CNPJ, endereço, contatos) está de acordo com seus últimos atos </w:t>
            </w:r>
            <w:proofErr w:type="gramStart"/>
            <w:r w:rsidRPr="00BA0CC5">
              <w:rPr>
                <w:rFonts w:ascii="Calibri" w:hAnsi="Calibri" w:cs="Calibri"/>
                <w:sz w:val="16"/>
                <w:szCs w:val="18"/>
              </w:rPr>
              <w:t>constitutivos</w:t>
            </w:r>
            <w:proofErr w:type="gramEnd"/>
            <w:r w:rsidRPr="00BA0CC5">
              <w:rPr>
                <w:rFonts w:ascii="Calibri" w:hAnsi="Calibri" w:cs="Calibri"/>
                <w:sz w:val="16"/>
                <w:szCs w:val="18"/>
              </w:rPr>
              <w:t xml:space="preserve"> e que o representante da empresa possui legitimação para assinar o aditivo? (solicitar ato constitutivo consolidado atualizado)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8B1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8EEC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A770" w14:textId="77777777" w:rsidR="00BA0CC5" w:rsidRPr="00BA0CC5" w:rsidRDefault="00BA0CC5" w:rsidP="0057618B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A0CC5">
              <w:rPr>
                <w:rFonts w:ascii="Calibri" w:hAnsi="Calibri" w:cs="Calibri"/>
                <w:sz w:val="16"/>
                <w:szCs w:val="18"/>
              </w:rPr>
              <w:sym w:font="Wingdings 2" w:char="F035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33E6" w14:textId="77777777" w:rsidR="00BA0CC5" w:rsidRPr="00BA0CC5" w:rsidRDefault="00BA0CC5" w:rsidP="0057618B">
            <w:pPr>
              <w:spacing w:after="0" w:line="240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1F2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3" w:hanging="215"/>
              <w:jc w:val="both"/>
              <w:rPr>
                <w:color w:val="000000"/>
                <w:sz w:val="16"/>
                <w:szCs w:val="16"/>
              </w:rPr>
            </w:pPr>
            <w:r w:rsidRPr="00BA0CC5">
              <w:rPr>
                <w:color w:val="000000"/>
                <w:sz w:val="16"/>
                <w:szCs w:val="16"/>
              </w:rPr>
              <w:t>Art. 104 e ss. da Lei n. 10.406/02</w:t>
            </w:r>
          </w:p>
          <w:p w14:paraId="3575A044" w14:textId="77777777" w:rsidR="00BA0CC5" w:rsidRPr="00BA0CC5" w:rsidRDefault="00BA0CC5" w:rsidP="0057618B">
            <w:pPr>
              <w:pStyle w:val="Textodocorpo1"/>
              <w:numPr>
                <w:ilvl w:val="0"/>
                <w:numId w:val="1"/>
              </w:numPr>
              <w:shd w:val="clear" w:color="auto" w:fill="auto"/>
              <w:spacing w:after="120" w:line="240" w:lineRule="auto"/>
              <w:ind w:left="243" w:hanging="215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A0CC5">
              <w:rPr>
                <w:color w:val="000000"/>
                <w:sz w:val="16"/>
                <w:szCs w:val="16"/>
              </w:rPr>
              <w:t>Arts</w:t>
            </w:r>
            <w:proofErr w:type="spellEnd"/>
            <w:proofErr w:type="gramStart"/>
            <w:r w:rsidRPr="00BA0CC5">
              <w:rPr>
                <w:color w:val="000000"/>
                <w:sz w:val="16"/>
                <w:szCs w:val="16"/>
              </w:rPr>
              <w:t>..</w:t>
            </w:r>
            <w:proofErr w:type="gramEnd"/>
            <w:r w:rsidRPr="00BA0CC5">
              <w:rPr>
                <w:color w:val="000000"/>
                <w:sz w:val="16"/>
                <w:szCs w:val="16"/>
              </w:rPr>
              <w:t xml:space="preserve"> 46,  47, e 118 da Lei n. 10.406/</w:t>
            </w:r>
            <w:proofErr w:type="gramStart"/>
            <w:r w:rsidRPr="00BA0CC5">
              <w:rPr>
                <w:color w:val="000000"/>
                <w:sz w:val="16"/>
                <w:szCs w:val="16"/>
              </w:rPr>
              <w:t>02</w:t>
            </w:r>
            <w:proofErr w:type="gramEnd"/>
          </w:p>
          <w:p w14:paraId="7C9211E3" w14:textId="77777777" w:rsidR="00BA0CC5" w:rsidRPr="00BA0CC5" w:rsidRDefault="00BA0CC5" w:rsidP="0057618B">
            <w:pPr>
              <w:pStyle w:val="Textodocorpo1"/>
              <w:shd w:val="clear" w:color="auto" w:fill="auto"/>
              <w:spacing w:after="120" w:line="240" w:lineRule="auto"/>
              <w:ind w:left="243" w:hanging="215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A377D0F" w14:textId="77777777" w:rsidR="00E86238" w:rsidRDefault="00E86238"/>
    <w:p w14:paraId="18290D01" w14:textId="77777777" w:rsidR="00854D81" w:rsidRDefault="00854D81"/>
    <w:p w14:paraId="79E49CA7" w14:textId="77777777" w:rsidR="00854D81" w:rsidRDefault="00854D81"/>
    <w:p w14:paraId="4DC5757A" w14:textId="77777777" w:rsidR="00E86238" w:rsidRDefault="00E86238" w:rsidP="00E86238">
      <w:pPr>
        <w:jc w:val="center"/>
      </w:pPr>
      <w:r>
        <w:t>------------------------------------------------------------</w:t>
      </w:r>
    </w:p>
    <w:p w14:paraId="2B3898AC" w14:textId="77777777" w:rsidR="00E86238" w:rsidRDefault="00E86238" w:rsidP="00E86238">
      <w:pPr>
        <w:jc w:val="center"/>
      </w:pPr>
      <w:r>
        <w:lastRenderedPageBreak/>
        <w:t>ASSINATURA</w:t>
      </w:r>
    </w:p>
    <w:sectPr w:rsidR="00E86238" w:rsidSect="006E60B1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8710" w14:textId="77777777" w:rsidR="00DC3765" w:rsidRDefault="00DC3765" w:rsidP="002D2BF4">
      <w:pPr>
        <w:spacing w:after="0" w:line="240" w:lineRule="auto"/>
      </w:pPr>
      <w:r>
        <w:separator/>
      </w:r>
    </w:p>
  </w:endnote>
  <w:endnote w:type="continuationSeparator" w:id="0">
    <w:p w14:paraId="78DCA588" w14:textId="77777777" w:rsidR="00DC3765" w:rsidRDefault="00DC3765" w:rsidP="002D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BFAC" w14:textId="77777777" w:rsidR="00DC3765" w:rsidRDefault="00DC3765" w:rsidP="002D2BF4">
      <w:pPr>
        <w:spacing w:after="0" w:line="240" w:lineRule="auto"/>
      </w:pPr>
      <w:r>
        <w:separator/>
      </w:r>
    </w:p>
  </w:footnote>
  <w:footnote w:type="continuationSeparator" w:id="0">
    <w:p w14:paraId="06CF9704" w14:textId="77777777" w:rsidR="00DC3765" w:rsidRDefault="00DC3765" w:rsidP="002D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3C1"/>
    <w:multiLevelType w:val="hybridMultilevel"/>
    <w:tmpl w:val="0228E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4520"/>
    <w:multiLevelType w:val="hybridMultilevel"/>
    <w:tmpl w:val="12800D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624B"/>
    <w:multiLevelType w:val="hybridMultilevel"/>
    <w:tmpl w:val="4B848C10"/>
    <w:lvl w:ilvl="0" w:tplc="0416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43597D9B"/>
    <w:multiLevelType w:val="hybridMultilevel"/>
    <w:tmpl w:val="DB46A63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154397"/>
    <w:multiLevelType w:val="hybridMultilevel"/>
    <w:tmpl w:val="65F4C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D011D"/>
    <w:multiLevelType w:val="hybridMultilevel"/>
    <w:tmpl w:val="757A2EB0"/>
    <w:lvl w:ilvl="0" w:tplc="8F6C8442">
      <w:numFmt w:val="bullet"/>
      <w:lvlText w:val="•"/>
      <w:lvlJc w:val="left"/>
      <w:pPr>
        <w:ind w:left="703" w:hanging="67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>
    <w:nsid w:val="698F4DBD"/>
    <w:multiLevelType w:val="hybridMultilevel"/>
    <w:tmpl w:val="873ED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3240"/>
    <w:multiLevelType w:val="hybridMultilevel"/>
    <w:tmpl w:val="E9A272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43259"/>
    <w:multiLevelType w:val="hybridMultilevel"/>
    <w:tmpl w:val="89004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1"/>
    <w:rsid w:val="00023E03"/>
    <w:rsid w:val="000D5796"/>
    <w:rsid w:val="00230A19"/>
    <w:rsid w:val="002D2BF4"/>
    <w:rsid w:val="00421E4E"/>
    <w:rsid w:val="00485DEE"/>
    <w:rsid w:val="0057618B"/>
    <w:rsid w:val="005C44ED"/>
    <w:rsid w:val="006213F1"/>
    <w:rsid w:val="006E60B1"/>
    <w:rsid w:val="00745C82"/>
    <w:rsid w:val="007E6373"/>
    <w:rsid w:val="0082185B"/>
    <w:rsid w:val="00854D81"/>
    <w:rsid w:val="008A6F3E"/>
    <w:rsid w:val="008E2AA1"/>
    <w:rsid w:val="009C1EFE"/>
    <w:rsid w:val="00A7486F"/>
    <w:rsid w:val="00BA0CC5"/>
    <w:rsid w:val="00C42790"/>
    <w:rsid w:val="00C618DF"/>
    <w:rsid w:val="00C86978"/>
    <w:rsid w:val="00CE7CBA"/>
    <w:rsid w:val="00D735C4"/>
    <w:rsid w:val="00DC3765"/>
    <w:rsid w:val="00E010D0"/>
    <w:rsid w:val="00E84BC2"/>
    <w:rsid w:val="00E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link w:val="Textodocorpo1"/>
    <w:rsid w:val="00C42790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C42790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paragraph" w:customStyle="1" w:styleId="centralizado">
    <w:name w:val="centralizado"/>
    <w:basedOn w:val="Normal"/>
    <w:rsid w:val="00C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790"/>
    <w:rPr>
      <w:b/>
      <w:bCs/>
    </w:rPr>
  </w:style>
  <w:style w:type="character" w:styleId="Hyperlink">
    <w:name w:val="Hyperlink"/>
    <w:basedOn w:val="Fontepargpadro"/>
    <w:uiPriority w:val="99"/>
    <w:unhideWhenUsed/>
    <w:rsid w:val="00C427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F4"/>
  </w:style>
  <w:style w:type="paragraph" w:styleId="Rodap">
    <w:name w:val="footer"/>
    <w:basedOn w:val="Normal"/>
    <w:link w:val="RodapChar"/>
    <w:uiPriority w:val="99"/>
    <w:unhideWhenUsed/>
    <w:rsid w:val="002D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F4"/>
  </w:style>
  <w:style w:type="paragraph" w:styleId="Textodenotaderodap">
    <w:name w:val="footnote text"/>
    <w:basedOn w:val="Normal"/>
    <w:link w:val="TextodenotaderodapChar"/>
    <w:rsid w:val="0057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6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76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76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link w:val="Textodocorpo1"/>
    <w:rsid w:val="00C42790"/>
    <w:rPr>
      <w:rFonts w:ascii="Arial Narrow" w:hAnsi="Arial Narrow" w:cs="Arial Narrow"/>
      <w:spacing w:val="-5"/>
      <w:sz w:val="17"/>
      <w:szCs w:val="17"/>
      <w:shd w:val="clear" w:color="auto" w:fill="FFFFFF"/>
    </w:rPr>
  </w:style>
  <w:style w:type="paragraph" w:customStyle="1" w:styleId="Textodocorpo1">
    <w:name w:val="Texto do corpo1"/>
    <w:basedOn w:val="Normal"/>
    <w:link w:val="Textodocorpo"/>
    <w:rsid w:val="00C42790"/>
    <w:pPr>
      <w:shd w:val="clear" w:color="auto" w:fill="FFFFFF"/>
      <w:spacing w:after="0" w:line="220" w:lineRule="exact"/>
    </w:pPr>
    <w:rPr>
      <w:rFonts w:ascii="Arial Narrow" w:hAnsi="Arial Narrow" w:cs="Arial Narrow"/>
      <w:spacing w:val="-5"/>
      <w:sz w:val="17"/>
      <w:szCs w:val="17"/>
    </w:rPr>
  </w:style>
  <w:style w:type="paragraph" w:customStyle="1" w:styleId="centralizado">
    <w:name w:val="centralizado"/>
    <w:basedOn w:val="Normal"/>
    <w:rsid w:val="00C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790"/>
    <w:rPr>
      <w:b/>
      <w:bCs/>
    </w:rPr>
  </w:style>
  <w:style w:type="character" w:styleId="Hyperlink">
    <w:name w:val="Hyperlink"/>
    <w:basedOn w:val="Fontepargpadro"/>
    <w:uiPriority w:val="99"/>
    <w:unhideWhenUsed/>
    <w:rsid w:val="00C427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F4"/>
  </w:style>
  <w:style w:type="paragraph" w:styleId="Rodap">
    <w:name w:val="footer"/>
    <w:basedOn w:val="Normal"/>
    <w:link w:val="RodapChar"/>
    <w:uiPriority w:val="99"/>
    <w:unhideWhenUsed/>
    <w:rsid w:val="002D2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F4"/>
  </w:style>
  <w:style w:type="paragraph" w:styleId="Textodenotaderodap">
    <w:name w:val="footnote text"/>
    <w:basedOn w:val="Normal"/>
    <w:link w:val="TextodenotaderodapChar"/>
    <w:rsid w:val="0057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6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76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76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t.dpc@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Regina Fabris de Araújo Figueredo</dc:creator>
  <cp:lastModifiedBy>Alessandra Regina Fabris de Araújo Figueredo</cp:lastModifiedBy>
  <cp:revision>2</cp:revision>
  <dcterms:created xsi:type="dcterms:W3CDTF">2023-02-07T12:13:00Z</dcterms:created>
  <dcterms:modified xsi:type="dcterms:W3CDTF">2023-02-07T12:13:00Z</dcterms:modified>
</cp:coreProperties>
</file>